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790" w:rsidRDefault="0079559E" w:rsidP="0079559E">
      <w:pPr>
        <w:spacing w:after="240"/>
        <w:jc w:val="center"/>
        <w:rPr>
          <w:b/>
          <w:sz w:val="28"/>
          <w:szCs w:val="28"/>
        </w:rPr>
      </w:pPr>
      <w:r w:rsidRPr="0079559E">
        <w:rPr>
          <w:b/>
          <w:sz w:val="28"/>
          <w:szCs w:val="28"/>
        </w:rPr>
        <w:t>NEWS RELEASE</w:t>
      </w:r>
    </w:p>
    <w:p w:rsidR="0079559E" w:rsidRDefault="0079559E" w:rsidP="0079559E">
      <w:pPr>
        <w:tabs>
          <w:tab w:val="right" w:pos="10080"/>
        </w:tabs>
        <w:spacing w:after="240"/>
      </w:pPr>
      <w:r w:rsidRPr="00DB34BB">
        <w:rPr>
          <w:b/>
        </w:rPr>
        <w:t>FOR IMMEDIATE RELEASE</w:t>
      </w:r>
      <w:r>
        <w:tab/>
        <w:t xml:space="preserve">Contact: </w:t>
      </w:r>
      <w:r w:rsidR="00803CFB">
        <w:t xml:space="preserve">Beth Gianforcaro, </w:t>
      </w:r>
      <w:r>
        <w:t xml:space="preserve">(614) </w:t>
      </w:r>
      <w:r w:rsidR="00265D12">
        <w:t>644-6230</w:t>
      </w:r>
      <w:r>
        <w:br/>
      </w:r>
      <w:r w:rsidR="00A07850">
        <w:t xml:space="preserve">Oct. </w:t>
      </w:r>
      <w:r w:rsidR="00565EAD">
        <w:t>8</w:t>
      </w:r>
      <w:r w:rsidR="00A07850">
        <w:t>, 2019</w:t>
      </w:r>
      <w:r>
        <w:tab/>
      </w:r>
      <w:hyperlink r:id="rId6" w:history="1">
        <w:r w:rsidR="00E84BED" w:rsidRPr="00B447DE">
          <w:rPr>
            <w:rStyle w:val="Hyperlink"/>
          </w:rPr>
          <w:t>bgianforcaro@age.ohio.gov</w:t>
        </w:r>
      </w:hyperlink>
    </w:p>
    <w:p w:rsidR="008A7425" w:rsidRPr="008A7425" w:rsidRDefault="008A7425" w:rsidP="008A7425">
      <w:pPr>
        <w:tabs>
          <w:tab w:val="left" w:pos="990"/>
          <w:tab w:val="right" w:pos="10080"/>
        </w:tabs>
        <w:spacing w:after="240"/>
      </w:pPr>
      <w:r>
        <w:t xml:space="preserve">Contacts: Aging - Beth Gianforcaro, (614) 644-6230, </w:t>
      </w:r>
      <w:hyperlink r:id="rId7" w:history="1">
        <w:r w:rsidRPr="00B447DE">
          <w:rPr>
            <w:rStyle w:val="Hyperlink"/>
          </w:rPr>
          <w:t>bgianforcaro@age.ohio.gov</w:t>
        </w:r>
      </w:hyperlink>
      <w:r>
        <w:br/>
      </w:r>
      <w:r>
        <w:tab/>
        <w:t xml:space="preserve">Fire Marshal – Brian Bohnert, (614) 752-7179, </w:t>
      </w:r>
      <w:hyperlink r:id="rId8" w:history="1">
        <w:r w:rsidRPr="00CF2C5B">
          <w:rPr>
            <w:rStyle w:val="Hyperlink"/>
          </w:rPr>
          <w:t>brian.bohnert@com.state.oh.us</w:t>
        </w:r>
      </w:hyperlink>
      <w:r>
        <w:t xml:space="preserve"> </w:t>
      </w:r>
    </w:p>
    <w:p w:rsidR="00E84BED" w:rsidRDefault="00E84BED" w:rsidP="00E84BED">
      <w:pPr>
        <w:spacing w:after="120"/>
        <w:rPr>
          <w:rStyle w:val="Hyperlink"/>
        </w:rPr>
      </w:pPr>
      <w:r w:rsidRPr="00794576">
        <w:rPr>
          <w:i/>
        </w:rPr>
        <w:t>Video message from Director McElroy:</w:t>
      </w:r>
      <w:r>
        <w:t xml:space="preserve"> </w:t>
      </w:r>
      <w:hyperlink r:id="rId9" w:history="1">
        <w:r>
          <w:rPr>
            <w:rStyle w:val="Hyperlink"/>
          </w:rPr>
          <w:t>https://youtu.be/9ALyyrUVP8k</w:t>
        </w:r>
      </w:hyperlink>
      <w:r>
        <w:br/>
      </w:r>
      <w:r w:rsidRPr="00794576">
        <w:rPr>
          <w:i/>
        </w:rPr>
        <w:t>Radio</w:t>
      </w:r>
      <w:r>
        <w:rPr>
          <w:i/>
        </w:rPr>
        <w:t>/podcast</w:t>
      </w:r>
      <w:r w:rsidRPr="00794576">
        <w:rPr>
          <w:i/>
        </w:rPr>
        <w:t xml:space="preserve"> partners:</w:t>
      </w:r>
      <w:r>
        <w:t xml:space="preserve"> </w:t>
      </w:r>
      <w:hyperlink r:id="rId10" w:history="1">
        <w:r w:rsidRPr="00980966">
          <w:rPr>
            <w:rStyle w:val="Hyperlink"/>
          </w:rPr>
          <w:t>Download audio clips on this topic from Director McElroy.</w:t>
        </w:r>
      </w:hyperlink>
    </w:p>
    <w:p w:rsidR="00E84BED" w:rsidRPr="00CA7033" w:rsidRDefault="00E84BED" w:rsidP="00E84BED">
      <w:pPr>
        <w:spacing w:after="120"/>
        <w:rPr>
          <w:sz w:val="22"/>
          <w:szCs w:val="22"/>
        </w:rPr>
      </w:pPr>
    </w:p>
    <w:p w:rsidR="0079559E" w:rsidRDefault="00A07850" w:rsidP="0079559E">
      <w:pPr>
        <w:tabs>
          <w:tab w:val="left" w:pos="6840"/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Ohio Department of Aging, State Fire Marshal encourage </w:t>
      </w:r>
      <w:r>
        <w:rPr>
          <w:b/>
          <w:sz w:val="28"/>
          <w:szCs w:val="28"/>
        </w:rPr>
        <w:br/>
        <w:t>older Ohioans to have</w:t>
      </w:r>
      <w:r w:rsidR="00D311BD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practice a fire escape plan</w:t>
      </w:r>
    </w:p>
    <w:p w:rsidR="0079559E" w:rsidRPr="00F32D31" w:rsidRDefault="00A07850" w:rsidP="0079559E">
      <w:pPr>
        <w:tabs>
          <w:tab w:val="left" w:pos="6840"/>
          <w:tab w:val="left" w:pos="7920"/>
        </w:tabs>
        <w:spacing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Oct. 6-12 is National Fire Prevention Week</w:t>
      </w:r>
    </w:p>
    <w:p w:rsidR="0079559E" w:rsidRDefault="0079559E" w:rsidP="00D22CED">
      <w:pPr>
        <w:spacing w:after="120"/>
      </w:pPr>
      <w:r w:rsidRPr="0079559E">
        <w:rPr>
          <w:b/>
        </w:rPr>
        <w:t>Columbus, Ohio</w:t>
      </w:r>
      <w:r w:rsidRPr="0079559E">
        <w:t xml:space="preserve"> –</w:t>
      </w:r>
      <w:r w:rsidR="00A07850">
        <w:t xml:space="preserve"> Older adults can be at higher risk for death from a home fire due to physical changes and homes that were not designed for their changing needs, among other factors. </w:t>
      </w:r>
      <w:r w:rsidR="00D311BD">
        <w:t xml:space="preserve">Oct. 6-12 is </w:t>
      </w:r>
      <w:r w:rsidR="00A07850">
        <w:t>National Fire Prevention Week</w:t>
      </w:r>
      <w:r w:rsidR="00D311BD">
        <w:t>.</w:t>
      </w:r>
      <w:r w:rsidR="00A07850">
        <w:t xml:space="preserve"> </w:t>
      </w:r>
      <w:r w:rsidR="00D311BD">
        <w:t>T</w:t>
      </w:r>
      <w:r w:rsidR="00A07850">
        <w:t xml:space="preserve">he Ohio Department of Aging and the State Fire Marshal’s office encourage older Ohioans to </w:t>
      </w:r>
      <w:r w:rsidR="001F106E">
        <w:t>create and practice a plan for surviving a fire in their homes.</w:t>
      </w:r>
    </w:p>
    <w:p w:rsidR="001F106E" w:rsidRDefault="001F106E" w:rsidP="00D22CED">
      <w:pPr>
        <w:spacing w:after="120"/>
      </w:pPr>
      <w:r>
        <w:t xml:space="preserve">“Older Ohioans can prevent fires by heating their homes safely, </w:t>
      </w:r>
      <w:r w:rsidR="00980966">
        <w:t>being</w:t>
      </w:r>
      <w:r>
        <w:t xml:space="preserve"> smart in the kitchen, and using electrical devices wi</w:t>
      </w:r>
      <w:r w:rsidR="00CA7033">
        <w:t>s</w:t>
      </w:r>
      <w:r>
        <w:t>ely,” said Ursel J. McElroy, director of the Ohio Department of Aging. “</w:t>
      </w:r>
      <w:r w:rsidR="00CA7033">
        <w:t>E</w:t>
      </w:r>
      <w:r>
        <w:t>qually as important is knowing how you will get out of your home if a fire start</w:t>
      </w:r>
      <w:r w:rsidR="00553CDA">
        <w:t>s</w:t>
      </w:r>
      <w:r>
        <w:t>.”</w:t>
      </w:r>
    </w:p>
    <w:p w:rsidR="001F106E" w:rsidRDefault="006D56AF" w:rsidP="00D22CED">
      <w:pPr>
        <w:spacing w:after="120"/>
      </w:pPr>
      <w:r>
        <w:t xml:space="preserve">“Although we hope no Ohioans ever experience a fire, the reality is that it will happen to many. When a home fire involves an older resident, the </w:t>
      </w:r>
      <w:r w:rsidR="000D21FC">
        <w:t>risks</w:t>
      </w:r>
      <w:r>
        <w:t xml:space="preserve"> are higher,” added State Fire Marshal Jeff A. Hussey. “Having working smoke alarms and an escape plan that </w:t>
      </w:r>
      <w:r w:rsidR="00417A93">
        <w:t>considers</w:t>
      </w:r>
      <w:bookmarkStart w:id="0" w:name="_GoBack"/>
      <w:bookmarkEnd w:id="0"/>
      <w:r>
        <w:t xml:space="preserve"> your changing needs and abilities can make the difference between life and death.”</w:t>
      </w:r>
    </w:p>
    <w:p w:rsidR="006D56AF" w:rsidRDefault="006D56AF" w:rsidP="00D22CED">
      <w:pPr>
        <w:spacing w:after="120"/>
      </w:pPr>
      <w:r>
        <w:t>The State Fire Marshal’s office recommends that older Ohioans have a smoke alarm inside each bedroom, outside every sleeping area, and on each level of their homes. Test alarms every month and change their batteries twice a year.</w:t>
      </w:r>
      <w:r w:rsidR="00980966">
        <w:t xml:space="preserve"> Smoke alarms that are more than 10 years old should be replaced.</w:t>
      </w:r>
    </w:p>
    <w:p w:rsidR="00FC3DBC" w:rsidRDefault="00FC3DBC" w:rsidP="00D22CED">
      <w:pPr>
        <w:spacing w:after="120"/>
      </w:pPr>
      <w:r>
        <w:t>The agencies also encourage every household to have an escape plan. Know two ways out of your home</w:t>
      </w:r>
      <w:r w:rsidR="00194532">
        <w:t xml:space="preserve"> and practice getting out both ways</w:t>
      </w:r>
      <w:r>
        <w:t>. Discuss your plan with family members and neighbors. If you have a landlord or building manager, include them in your plan.</w:t>
      </w:r>
      <w:r w:rsidR="00CA7033">
        <w:t xml:space="preserve"> </w:t>
      </w:r>
      <w:r>
        <w:t xml:space="preserve">Older adults with special needs like medical equipment, limited mobility, or changes in hearing, vision, thinking, or reasoning, should </w:t>
      </w:r>
      <w:r w:rsidR="00E84BED">
        <w:t>talk with</w:t>
      </w:r>
      <w:r>
        <w:t xml:space="preserve"> first responders in advance </w:t>
      </w:r>
      <w:r w:rsidR="00E84BED">
        <w:t xml:space="preserve">about </w:t>
      </w:r>
      <w:r>
        <w:t>how to help them get out of their homes safely.</w:t>
      </w:r>
    </w:p>
    <w:p w:rsidR="00FC3DBC" w:rsidRDefault="00FC3DBC" w:rsidP="00D22CED">
      <w:pPr>
        <w:spacing w:after="120"/>
      </w:pPr>
      <w:r>
        <w:t xml:space="preserve">Your area agency on aging can help you locate and access </w:t>
      </w:r>
      <w:r w:rsidR="00CA7033">
        <w:t xml:space="preserve">local </w:t>
      </w:r>
      <w:r>
        <w:t>resources to make your home safer</w:t>
      </w:r>
      <w:r w:rsidR="00CA7033">
        <w:t xml:space="preserve"> as you age. Call 1-866-243-5678 to be connected to the agency serving your community. </w:t>
      </w:r>
      <w:r w:rsidR="00CA7033" w:rsidRPr="00CA7033">
        <w:t>For more fire safety tips and resources, visit the State Fire Marshal’s website</w:t>
      </w:r>
      <w:r w:rsidR="00E84BED">
        <w:t xml:space="preserve">, </w:t>
      </w:r>
      <w:hyperlink r:id="rId11" w:history="1">
        <w:r w:rsidR="00E84BED" w:rsidRPr="00B447DE">
          <w:rPr>
            <w:rStyle w:val="Hyperlink"/>
          </w:rPr>
          <w:t>www.com.ohio.gov/fire</w:t>
        </w:r>
      </w:hyperlink>
      <w:r w:rsidR="00E84BED">
        <w:t xml:space="preserve">, </w:t>
      </w:r>
      <w:r w:rsidR="00CA7033" w:rsidRPr="00CA7033">
        <w:t>or call your local fire department.</w:t>
      </w:r>
    </w:p>
    <w:p w:rsidR="0079559E" w:rsidRDefault="0079559E" w:rsidP="00D22CED">
      <w:pPr>
        <w:spacing w:after="120"/>
      </w:pPr>
      <w:r w:rsidRPr="000F068E">
        <w:rPr>
          <w:b/>
        </w:rPr>
        <w:lastRenderedPageBreak/>
        <w:t xml:space="preserve">About ODA – </w:t>
      </w:r>
      <w:r w:rsidRPr="000F068E">
        <w:t>The Ohio Department</w:t>
      </w:r>
      <w:r>
        <w:t xml:space="preserve"> of </w:t>
      </w:r>
      <w:r w:rsidRPr="000F068E">
        <w:t xml:space="preserve">Aging </w:t>
      </w:r>
      <w:r>
        <w:t xml:space="preserve">serves and advocates for the needs of Ohioans age 60 and older, as well as their families, caregivers and communities. Programs include home and community based long-term supports and services, as well as initiatives to promote health and wellness throughout the lifespan. </w:t>
      </w:r>
      <w:r w:rsidRPr="000F068E">
        <w:t>Visit www.aging.ohio.gov.</w:t>
      </w:r>
    </w:p>
    <w:p w:rsidR="0079559E" w:rsidRPr="0079559E" w:rsidRDefault="0079559E" w:rsidP="0079559E">
      <w:pPr>
        <w:jc w:val="center"/>
        <w:rPr>
          <w:b/>
        </w:rPr>
      </w:pPr>
      <w:r w:rsidRPr="00DB34BB">
        <w:rPr>
          <w:b/>
        </w:rPr>
        <w:t>###</w:t>
      </w:r>
    </w:p>
    <w:sectPr w:rsidR="0079559E" w:rsidRPr="0079559E" w:rsidSect="003D5790"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850" w:rsidRDefault="00A07850">
      <w:r>
        <w:separator/>
      </w:r>
    </w:p>
  </w:endnote>
  <w:endnote w:type="continuationSeparator" w:id="0">
    <w:p w:rsidR="00A07850" w:rsidRDefault="00A0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186698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  <w:sz w:val="20"/>
        <w:szCs w:val="20"/>
      </w:rPr>
    </w:sdtEndPr>
    <w:sdtContent>
      <w:p w:rsidR="00B008C0" w:rsidRPr="00B008C0" w:rsidRDefault="00B008C0" w:rsidP="00B008C0">
        <w:pPr>
          <w:pStyle w:val="Footer"/>
          <w:jc w:val="center"/>
          <w:rPr>
            <w:color w:val="808080" w:themeColor="background1" w:themeShade="80"/>
            <w:sz w:val="20"/>
            <w:szCs w:val="20"/>
          </w:rPr>
        </w:pPr>
        <w:r w:rsidRPr="00B008C0">
          <w:rPr>
            <w:color w:val="808080" w:themeColor="background1" w:themeShade="80"/>
            <w:sz w:val="20"/>
            <w:szCs w:val="20"/>
          </w:rPr>
          <w:fldChar w:fldCharType="begin"/>
        </w:r>
        <w:r w:rsidRPr="00B008C0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B008C0">
          <w:rPr>
            <w:color w:val="808080" w:themeColor="background1" w:themeShade="80"/>
            <w:sz w:val="20"/>
            <w:szCs w:val="20"/>
          </w:rPr>
          <w:fldChar w:fldCharType="separate"/>
        </w:r>
        <w:r w:rsidR="00D22CED">
          <w:rPr>
            <w:noProof/>
            <w:color w:val="808080" w:themeColor="background1" w:themeShade="80"/>
            <w:sz w:val="20"/>
            <w:szCs w:val="20"/>
          </w:rPr>
          <w:t>2</w:t>
        </w:r>
        <w:r w:rsidRPr="00B008C0">
          <w:rPr>
            <w:noProof/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E08" w:rsidRPr="007B0B57" w:rsidRDefault="00414CEC" w:rsidP="00BF54EC">
    <w:pPr>
      <w:pStyle w:val="Footer"/>
      <w:tabs>
        <w:tab w:val="clear" w:pos="4320"/>
        <w:tab w:val="clear" w:pos="8640"/>
        <w:tab w:val="left" w:pos="1260"/>
        <w:tab w:val="left" w:pos="4680"/>
      </w:tabs>
      <w:rPr>
        <w:rFonts w:cs="Arial"/>
        <w:color w:val="777777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7F8A6BC" wp14:editId="592156E8">
              <wp:simplePos x="0" y="0"/>
              <wp:positionH relativeFrom="page">
                <wp:posOffset>1962150</wp:posOffset>
              </wp:positionH>
              <wp:positionV relativeFrom="page">
                <wp:posOffset>9239250</wp:posOffset>
              </wp:positionV>
              <wp:extent cx="3627120" cy="542925"/>
              <wp:effectExtent l="0" t="0" r="0" b="9525"/>
              <wp:wrapSquare wrapText="bothSides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12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E08" w:rsidRDefault="0071043A" w:rsidP="007A5FDC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left" w:pos="3420"/>
                              <w:tab w:val="left" w:pos="3960"/>
                            </w:tabs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246 N. High St.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1st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Fl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Main: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 xml:space="preserve">(614) 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466-5500</w:t>
                          </w:r>
                          <w:r w:rsidR="00A13E08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br/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Columbus, OH 43215-</w:t>
                          </w:r>
                          <w:r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2406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 U.S.A.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>(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614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) </w:t>
                          </w:r>
                          <w:r w:rsidR="00A13E08"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466-5741</w:t>
                          </w:r>
                        </w:p>
                        <w:p w:rsidR="00A13E08" w:rsidRPr="00AB78B3" w:rsidRDefault="00A13E08" w:rsidP="007A5FDC">
                          <w:pPr>
                            <w:pStyle w:val="Footer"/>
                            <w:tabs>
                              <w:tab w:val="left" w:pos="3420"/>
                              <w:tab w:val="left" w:pos="3960"/>
                            </w:tabs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</w:pPr>
                          <w:r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>www.aging.ohio.gov</w:t>
                          </w:r>
                          <w:r w:rsidRPr="007B0B57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 xml:space="preserve">TTY: </w:t>
                          </w:r>
                          <w:r w:rsidR="007A5FDC">
                            <w:rPr>
                              <w:rFonts w:cs="Arial"/>
                              <w:color w:val="777777"/>
                              <w:sz w:val="20"/>
                              <w:szCs w:val="20"/>
                            </w:rPr>
                            <w:tab/>
                            <w:t>Dial 711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8A6B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54.5pt;margin-top:727.5pt;width:285.6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FssAIAALE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" filled="f" stroked="f">
              <v:textbox inset=",0,,0">
                <w:txbxContent>
                  <w:p w:rsidR="00A13E08" w:rsidRDefault="0071043A" w:rsidP="007A5FDC">
                    <w:pPr>
                      <w:pStyle w:val="Footer"/>
                      <w:tabs>
                        <w:tab w:val="clear" w:pos="4320"/>
                        <w:tab w:val="clear" w:pos="8640"/>
                        <w:tab w:val="left" w:pos="3420"/>
                        <w:tab w:val="left" w:pos="3960"/>
                      </w:tabs>
                      <w:rPr>
                        <w:rFonts w:cs="Arial"/>
                        <w:color w:val="777777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246 N. High St.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/ 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1st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Fl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>Main: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 xml:space="preserve">(614) 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466-5500</w:t>
                    </w:r>
                    <w:r w:rsidR="00A13E08">
                      <w:rPr>
                        <w:rFonts w:cs="Arial"/>
                        <w:color w:val="777777"/>
                        <w:sz w:val="20"/>
                        <w:szCs w:val="20"/>
                      </w:rPr>
                      <w:br/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Columbus, OH 43215-</w:t>
                    </w:r>
                    <w:r>
                      <w:rPr>
                        <w:rFonts w:cs="Arial"/>
                        <w:color w:val="777777"/>
                        <w:sz w:val="20"/>
                        <w:szCs w:val="20"/>
                      </w:rPr>
                      <w:t>2406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 U.S.A.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Fax: 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>(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614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) </w:t>
                    </w:r>
                    <w:r w:rsidR="00A13E08"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466-5741</w:t>
                    </w:r>
                  </w:p>
                  <w:p w:rsidR="00A13E08" w:rsidRPr="00AB78B3" w:rsidRDefault="00A13E08" w:rsidP="007A5FDC">
                    <w:pPr>
                      <w:pStyle w:val="Footer"/>
                      <w:tabs>
                        <w:tab w:val="left" w:pos="3420"/>
                        <w:tab w:val="left" w:pos="3960"/>
                      </w:tabs>
                      <w:rPr>
                        <w:rFonts w:cs="Arial"/>
                        <w:color w:val="777777"/>
                        <w:sz w:val="20"/>
                        <w:szCs w:val="20"/>
                      </w:rPr>
                    </w:pPr>
                    <w:r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>www.aging.ohio.gov</w:t>
                    </w:r>
                    <w:r w:rsidRPr="007B0B57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 xml:space="preserve">TTY: </w:t>
                    </w:r>
                    <w:r w:rsidR="007A5FDC">
                      <w:rPr>
                        <w:rFonts w:cs="Arial"/>
                        <w:color w:val="777777"/>
                        <w:sz w:val="20"/>
                        <w:szCs w:val="20"/>
                      </w:rPr>
                      <w:tab/>
                      <w:t>Dial 711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850" w:rsidRDefault="00A07850">
      <w:r>
        <w:separator/>
      </w:r>
    </w:p>
  </w:footnote>
  <w:footnote w:type="continuationSeparator" w:id="0">
    <w:p w:rsidR="00A07850" w:rsidRDefault="00A0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790" w:rsidRDefault="00ED4790" w:rsidP="00ED4790">
    <w:pPr>
      <w:rPr>
        <w:rFonts w:cs="Arial"/>
        <w:b/>
        <w:color w:val="700017"/>
        <w:sz w:val="20"/>
        <w:szCs w:val="20"/>
      </w:rPr>
    </w:pPr>
    <w:bookmarkStart w:id="1" w:name="_Hlk14262906"/>
    <w:bookmarkStart w:id="2" w:name="_Hlk14262907"/>
    <w:r>
      <w:rPr>
        <w:rFonts w:cs="Arial"/>
        <w:b/>
        <w:noProof/>
        <w:color w:val="700017"/>
        <w:sz w:val="20"/>
        <w:szCs w:val="20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783080" cy="45720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FM_Logo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43451" r="16071" b="38245"/>
                  <a:stretch/>
                </pic:blipFill>
                <pic:spPr bwMode="auto">
                  <a:xfrm>
                    <a:off x="0" y="0"/>
                    <a:ext cx="1783080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="Arial"/>
        <w:b/>
        <w:noProof/>
        <w:color w:val="700017"/>
        <w:sz w:val="20"/>
        <w:szCs w:val="20"/>
      </w:rPr>
      <w:drawing>
        <wp:anchor distT="0" distB="0" distL="114300" distR="114300" simplePos="0" relativeHeight="251660800" behindDoc="1" locked="0" layoutInCell="1" allowOverlap="1" wp14:anchorId="0086276A" wp14:editId="35A2C4A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7585" cy="45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DA Logo Classic Small C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4790" w:rsidRDefault="00ED4790" w:rsidP="00ED4790">
    <w:pPr>
      <w:rPr>
        <w:rFonts w:cs="Arial"/>
        <w:b/>
        <w:color w:val="700017"/>
        <w:sz w:val="20"/>
        <w:szCs w:val="20"/>
      </w:rPr>
    </w:pPr>
  </w:p>
  <w:p w:rsidR="00ED4790" w:rsidRDefault="00ED4790" w:rsidP="00ED4790">
    <w:pPr>
      <w:rPr>
        <w:rFonts w:cs="Arial"/>
        <w:b/>
        <w:color w:val="700017"/>
        <w:sz w:val="20"/>
        <w:szCs w:val="20"/>
      </w:rPr>
    </w:pPr>
  </w:p>
  <w:p w:rsidR="00ED4790" w:rsidRDefault="00ED4790" w:rsidP="00ED4790">
    <w:pPr>
      <w:tabs>
        <w:tab w:val="center" w:pos="5040"/>
        <w:tab w:val="right" w:pos="10080"/>
      </w:tabs>
      <w:rPr>
        <w:rFonts w:cs="Arial"/>
        <w:color w:val="777777"/>
        <w:sz w:val="20"/>
        <w:szCs w:val="20"/>
      </w:rPr>
    </w:pPr>
    <w:r>
      <w:rPr>
        <w:rFonts w:cs="Arial"/>
        <w:b/>
        <w:color w:val="700017"/>
        <w:sz w:val="20"/>
        <w:szCs w:val="20"/>
      </w:rPr>
      <w:t>Ursel J. McElroy</w:t>
    </w:r>
    <w:r w:rsidRPr="00306C34">
      <w:rPr>
        <w:rFonts w:cs="Arial"/>
        <w:color w:val="700017"/>
        <w:sz w:val="20"/>
        <w:szCs w:val="20"/>
      </w:rPr>
      <w:t xml:space="preserve">, </w:t>
    </w:r>
    <w:r>
      <w:rPr>
        <w:rFonts w:cs="Arial"/>
        <w:color w:val="777777"/>
        <w:sz w:val="20"/>
        <w:szCs w:val="20"/>
      </w:rPr>
      <w:t>D</w:t>
    </w:r>
    <w:r w:rsidRPr="00022D03">
      <w:rPr>
        <w:rFonts w:cs="Arial"/>
        <w:color w:val="777777"/>
        <w:sz w:val="20"/>
        <w:szCs w:val="20"/>
      </w:rPr>
      <w:t>irector</w:t>
    </w:r>
    <w:r>
      <w:rPr>
        <w:rFonts w:ascii="Cambria" w:hAnsi="Cambria"/>
        <w:b/>
        <w:i/>
        <w:noProof/>
        <w:color w:val="0D0D0D" w:themeColor="text1" w:themeTint="F2"/>
        <w:sz w:val="28"/>
        <w:szCs w:val="28"/>
      </w:rPr>
      <w:tab/>
    </w:r>
    <w:r>
      <w:rPr>
        <w:rFonts w:cs="Arial"/>
        <w:b/>
        <w:color w:val="700017"/>
        <w:sz w:val="20"/>
        <w:szCs w:val="20"/>
      </w:rPr>
      <w:t>Mike DeWine</w:t>
    </w:r>
    <w:r w:rsidRPr="00306C34">
      <w:rPr>
        <w:rFonts w:cs="Arial"/>
        <w:color w:val="700017"/>
        <w:sz w:val="20"/>
        <w:szCs w:val="20"/>
      </w:rPr>
      <w:t>,</w:t>
    </w:r>
    <w:r w:rsidRPr="00022D03">
      <w:rPr>
        <w:rFonts w:cs="Arial"/>
        <w:sz w:val="20"/>
        <w:szCs w:val="20"/>
      </w:rPr>
      <w:t xml:space="preserve"> </w:t>
    </w:r>
    <w:r w:rsidRPr="00022D03">
      <w:rPr>
        <w:rFonts w:cs="Arial"/>
        <w:color w:val="777777"/>
        <w:sz w:val="20"/>
        <w:szCs w:val="20"/>
      </w:rPr>
      <w:t>Governor</w:t>
    </w:r>
    <w:r>
      <w:rPr>
        <w:rFonts w:cs="Arial"/>
        <w:color w:val="777777"/>
        <w:sz w:val="20"/>
        <w:szCs w:val="20"/>
      </w:rPr>
      <w:t xml:space="preserve"> </w:t>
    </w:r>
    <w:r>
      <w:rPr>
        <w:rFonts w:cs="Arial"/>
        <w:color w:val="777777"/>
        <w:sz w:val="20"/>
        <w:szCs w:val="20"/>
      </w:rPr>
      <w:tab/>
    </w:r>
    <w:r>
      <w:rPr>
        <w:rFonts w:cs="Arial"/>
        <w:b/>
        <w:color w:val="700017"/>
        <w:sz w:val="20"/>
        <w:szCs w:val="20"/>
      </w:rPr>
      <w:t>Sheryl Maxfield</w:t>
    </w:r>
    <w:r w:rsidRPr="00306C34">
      <w:rPr>
        <w:rFonts w:cs="Arial"/>
        <w:color w:val="700017"/>
        <w:sz w:val="20"/>
        <w:szCs w:val="20"/>
      </w:rPr>
      <w:t xml:space="preserve">, </w:t>
    </w:r>
    <w:r>
      <w:rPr>
        <w:rFonts w:cs="Arial"/>
        <w:color w:val="777777"/>
        <w:sz w:val="20"/>
        <w:szCs w:val="20"/>
      </w:rPr>
      <w:t>D</w:t>
    </w:r>
    <w:r w:rsidRPr="00022D03">
      <w:rPr>
        <w:rFonts w:cs="Arial"/>
        <w:color w:val="777777"/>
        <w:sz w:val="20"/>
        <w:szCs w:val="20"/>
      </w:rPr>
      <w:t>irector</w:t>
    </w:r>
  </w:p>
  <w:bookmarkEnd w:id="1"/>
  <w:bookmarkEnd w:id="2"/>
  <w:p w:rsidR="00ED4790" w:rsidRPr="00631C03" w:rsidRDefault="00ED4790" w:rsidP="00ED4790"/>
  <w:p w:rsidR="00640578" w:rsidRPr="00ED4790" w:rsidRDefault="00640578" w:rsidP="00ED4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50"/>
    <w:rsid w:val="0000233C"/>
    <w:rsid w:val="00022D03"/>
    <w:rsid w:val="0003539E"/>
    <w:rsid w:val="000521B9"/>
    <w:rsid w:val="000B20D2"/>
    <w:rsid w:val="000C46BA"/>
    <w:rsid w:val="000D1BA6"/>
    <w:rsid w:val="000D21FC"/>
    <w:rsid w:val="000D7FA2"/>
    <w:rsid w:val="000E17C3"/>
    <w:rsid w:val="000E49BF"/>
    <w:rsid w:val="000E7662"/>
    <w:rsid w:val="00104FEF"/>
    <w:rsid w:val="00114CAB"/>
    <w:rsid w:val="00124980"/>
    <w:rsid w:val="00136733"/>
    <w:rsid w:val="00185F8F"/>
    <w:rsid w:val="00194532"/>
    <w:rsid w:val="001A638D"/>
    <w:rsid w:val="001B7C88"/>
    <w:rsid w:val="001D21E0"/>
    <w:rsid w:val="001F106E"/>
    <w:rsid w:val="001F3F44"/>
    <w:rsid w:val="0022062F"/>
    <w:rsid w:val="00235948"/>
    <w:rsid w:val="00265D12"/>
    <w:rsid w:val="00277656"/>
    <w:rsid w:val="002D7F54"/>
    <w:rsid w:val="003659CE"/>
    <w:rsid w:val="00375CD8"/>
    <w:rsid w:val="00390DE9"/>
    <w:rsid w:val="0039160D"/>
    <w:rsid w:val="003C0BA4"/>
    <w:rsid w:val="003D5790"/>
    <w:rsid w:val="003E4DAE"/>
    <w:rsid w:val="003F0180"/>
    <w:rsid w:val="00414CEC"/>
    <w:rsid w:val="00417A93"/>
    <w:rsid w:val="004220AD"/>
    <w:rsid w:val="00467079"/>
    <w:rsid w:val="004A6C92"/>
    <w:rsid w:val="00540BDD"/>
    <w:rsid w:val="00544BB2"/>
    <w:rsid w:val="00553CDA"/>
    <w:rsid w:val="00565EAD"/>
    <w:rsid w:val="005A4CDC"/>
    <w:rsid w:val="005A7087"/>
    <w:rsid w:val="005C4F8C"/>
    <w:rsid w:val="005E0472"/>
    <w:rsid w:val="00603B9C"/>
    <w:rsid w:val="00604393"/>
    <w:rsid w:val="00620CE9"/>
    <w:rsid w:val="00620E9E"/>
    <w:rsid w:val="00631C03"/>
    <w:rsid w:val="00640578"/>
    <w:rsid w:val="006545A9"/>
    <w:rsid w:val="0069075C"/>
    <w:rsid w:val="00697B10"/>
    <w:rsid w:val="006B5799"/>
    <w:rsid w:val="006D56AF"/>
    <w:rsid w:val="0071043A"/>
    <w:rsid w:val="00740743"/>
    <w:rsid w:val="0075115E"/>
    <w:rsid w:val="00753BD8"/>
    <w:rsid w:val="007852B8"/>
    <w:rsid w:val="0079559E"/>
    <w:rsid w:val="007A39D2"/>
    <w:rsid w:val="007A5FDC"/>
    <w:rsid w:val="007B0B57"/>
    <w:rsid w:val="007E78AB"/>
    <w:rsid w:val="007F3419"/>
    <w:rsid w:val="00803CFB"/>
    <w:rsid w:val="0081046E"/>
    <w:rsid w:val="00836F72"/>
    <w:rsid w:val="00894ECA"/>
    <w:rsid w:val="008A7425"/>
    <w:rsid w:val="008E3922"/>
    <w:rsid w:val="00903F62"/>
    <w:rsid w:val="009048A4"/>
    <w:rsid w:val="00905B6F"/>
    <w:rsid w:val="0092552C"/>
    <w:rsid w:val="0095425C"/>
    <w:rsid w:val="00960CFB"/>
    <w:rsid w:val="009706B3"/>
    <w:rsid w:val="009800DB"/>
    <w:rsid w:val="00980966"/>
    <w:rsid w:val="009A2036"/>
    <w:rsid w:val="00A07850"/>
    <w:rsid w:val="00A13E08"/>
    <w:rsid w:val="00A8507B"/>
    <w:rsid w:val="00A9173A"/>
    <w:rsid w:val="00AB2076"/>
    <w:rsid w:val="00AB5E57"/>
    <w:rsid w:val="00B008C0"/>
    <w:rsid w:val="00B136C3"/>
    <w:rsid w:val="00B40812"/>
    <w:rsid w:val="00B4462A"/>
    <w:rsid w:val="00B5532F"/>
    <w:rsid w:val="00B709EB"/>
    <w:rsid w:val="00B96DA0"/>
    <w:rsid w:val="00BB3641"/>
    <w:rsid w:val="00BC58AD"/>
    <w:rsid w:val="00BF54EC"/>
    <w:rsid w:val="00C21294"/>
    <w:rsid w:val="00C40F75"/>
    <w:rsid w:val="00C810F9"/>
    <w:rsid w:val="00C8457D"/>
    <w:rsid w:val="00C90886"/>
    <w:rsid w:val="00C90DE0"/>
    <w:rsid w:val="00CA7033"/>
    <w:rsid w:val="00CB5AB7"/>
    <w:rsid w:val="00CF0362"/>
    <w:rsid w:val="00CF7DED"/>
    <w:rsid w:val="00D04CE1"/>
    <w:rsid w:val="00D22CED"/>
    <w:rsid w:val="00D311BD"/>
    <w:rsid w:val="00D561F0"/>
    <w:rsid w:val="00D66B06"/>
    <w:rsid w:val="00D8663E"/>
    <w:rsid w:val="00DB3A07"/>
    <w:rsid w:val="00DB76EA"/>
    <w:rsid w:val="00DE312B"/>
    <w:rsid w:val="00E07DB8"/>
    <w:rsid w:val="00E71360"/>
    <w:rsid w:val="00E82504"/>
    <w:rsid w:val="00E84BED"/>
    <w:rsid w:val="00EC2CD2"/>
    <w:rsid w:val="00ED1678"/>
    <w:rsid w:val="00ED4790"/>
    <w:rsid w:val="00F26001"/>
    <w:rsid w:val="00F42344"/>
    <w:rsid w:val="00F512EB"/>
    <w:rsid w:val="00F67AA9"/>
    <w:rsid w:val="00FA27A3"/>
    <w:rsid w:val="00FA6309"/>
    <w:rsid w:val="00F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09B71E"/>
  <w15:docId w15:val="{D2CDF64A-E130-473A-984F-649BB3F1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ECA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73A"/>
    <w:pPr>
      <w:keepNext/>
      <w:keepLines/>
      <w:outlineLvl w:val="0"/>
    </w:pPr>
    <w:rPr>
      <w:rFonts w:ascii="Rockwell" w:eastAsiaTheme="majorEastAsia" w:hAnsi="Rockwell" w:cstheme="majorBidi"/>
      <w:b/>
      <w:bCs/>
      <w:color w:val="632423" w:themeColor="accent2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5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E5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7F54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2359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35948"/>
    <w:rPr>
      <w:rFonts w:cs="Arial"/>
      <w:sz w:val="20"/>
      <w:szCs w:val="20"/>
    </w:rPr>
  </w:style>
  <w:style w:type="character" w:styleId="PageNumber">
    <w:name w:val="page number"/>
    <w:basedOn w:val="DefaultParagraphFont"/>
    <w:rsid w:val="00C21294"/>
  </w:style>
  <w:style w:type="character" w:customStyle="1" w:styleId="Heading1Char">
    <w:name w:val="Heading 1 Char"/>
    <w:basedOn w:val="DefaultParagraphFont"/>
    <w:link w:val="Heading1"/>
    <w:rsid w:val="00A9173A"/>
    <w:rPr>
      <w:rFonts w:ascii="Rockwell" w:eastAsiaTheme="majorEastAsia" w:hAnsi="Rockwell" w:cstheme="majorBidi"/>
      <w:b/>
      <w:bCs/>
      <w:color w:val="632423" w:themeColor="accent2" w:themeShade="8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008C0"/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nhideWhenUsed/>
    <w:rsid w:val="007955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bohnert@com.state.oh.u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gianforcaro@age.ohio.gov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bgianforcaro@age.ohio.gov" TargetMode="External"/><Relationship Id="rId11" Type="http://schemas.openxmlformats.org/officeDocument/2006/relationships/hyperlink" Target="http://www.com.ohio.gov/fir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aging.sharefile.com/d-sdc8aab3282a48a4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9ALyyrUVP8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atliff\Documents\Custom%20Office%20Templates\News%20Release%202019_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2019_Standard.dotx</Template>
  <TotalTime>0</TotalTime>
  <Pages>2</Pages>
  <Words>480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Ratliff, John</dc:creator>
  <cp:lastModifiedBy>Ratliff, John</cp:lastModifiedBy>
  <cp:revision>3</cp:revision>
  <cp:lastPrinted>2018-05-14T18:31:00Z</cp:lastPrinted>
  <dcterms:created xsi:type="dcterms:W3CDTF">2019-10-07T14:28:00Z</dcterms:created>
  <dcterms:modified xsi:type="dcterms:W3CDTF">2019-10-08T14:52:00Z</dcterms:modified>
</cp:coreProperties>
</file>